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DF" w:rsidRDefault="00C412DF" w:rsidP="00C412DF">
      <w:pPr>
        <w:spacing w:after="0" w:line="240" w:lineRule="auto"/>
        <w:ind w:left="5812" w:hanging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C412DF" w:rsidRDefault="00C412DF" w:rsidP="00C412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412DF" w:rsidRDefault="00C412DF" w:rsidP="00C412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DC6834" w:rsidRDefault="00C412DF" w:rsidP="00C41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         </w:t>
      </w:r>
      <w:r w:rsidR="00EB612B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EB612B">
        <w:rPr>
          <w:rFonts w:ascii="Times New Roman" w:hAnsi="Times New Roman"/>
          <w:sz w:val="24"/>
          <w:szCs w:val="24"/>
        </w:rPr>
        <w:t xml:space="preserve">т 30 декабря 2020 г. </w:t>
      </w:r>
      <w:r w:rsidRPr="004052FD">
        <w:rPr>
          <w:rFonts w:ascii="Times New Roman" w:hAnsi="Times New Roman"/>
          <w:sz w:val="24"/>
          <w:szCs w:val="24"/>
        </w:rPr>
        <w:t>№</w:t>
      </w:r>
      <w:r w:rsidR="00EB612B">
        <w:rPr>
          <w:rFonts w:ascii="Times New Roman" w:hAnsi="Times New Roman"/>
          <w:sz w:val="24"/>
          <w:szCs w:val="24"/>
        </w:rPr>
        <w:t xml:space="preserve"> 819</w:t>
      </w:r>
    </w:p>
    <w:p w:rsidR="00C412DF" w:rsidRDefault="00C412DF" w:rsidP="00C41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2DF" w:rsidRDefault="00C412DF" w:rsidP="00C41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834" w:rsidRDefault="00DC6834" w:rsidP="00DC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DC6834" w:rsidRDefault="00DC6834" w:rsidP="00DC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«ДОСТУПНАЯ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(далее-программа)</w:t>
      </w:r>
    </w:p>
    <w:p w:rsidR="00DC6834" w:rsidRDefault="00DC6834" w:rsidP="00DC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834" w:rsidRDefault="00DC6834" w:rsidP="00DC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C6834" w:rsidRDefault="00DC6834" w:rsidP="00DC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DC6834" w:rsidRDefault="00DC6834" w:rsidP="00DC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801"/>
      </w:tblGrid>
      <w:tr w:rsidR="00DC6834" w:rsidTr="00CE1A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Default="00DC6834" w:rsidP="00C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34" w:rsidRDefault="00DC6834" w:rsidP="00CE1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Чебаркульского городского округа (далее – УСЗН ЧГО).</w:t>
            </w:r>
          </w:p>
          <w:p w:rsidR="00DC6834" w:rsidRDefault="00DC6834" w:rsidP="00CE1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834" w:rsidTr="00CE1A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Default="00DC6834" w:rsidP="00C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Pr="002B7B51" w:rsidRDefault="00DC6834" w:rsidP="00CE1AE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Чебаркульского городского округа (далее  - УФКиС ЧГО); </w:t>
            </w:r>
          </w:p>
          <w:p w:rsidR="00DC6834" w:rsidRPr="002B7B51" w:rsidRDefault="00DC6834" w:rsidP="00CE1AE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Чебаркульского городского округа (далее – УК ЧГО); Муниципальное учреждение Чебаркульского городского округ «Комплексный центр социального обслуживания населения» (далее - КЦСОН); Управление образования администрации Чебаркульского городского округа (далее </w:t>
            </w:r>
            <w:r w:rsidRPr="002B7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– УО ЧГО); Муниципальное казенное учреждение Чебаркульского городского округа «Центр помощи детям, оставшимся без попечения родителей» (далее – МКУ «Центр помощи детям» г.Чебаркуля).</w:t>
            </w:r>
          </w:p>
        </w:tc>
      </w:tr>
      <w:tr w:rsidR="00DC6834" w:rsidTr="00CE1A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Default="00DC6834" w:rsidP="00C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Pr="002B7B51" w:rsidRDefault="00DC6834" w:rsidP="00CE1A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DC6834" w:rsidTr="00CE1AE7">
        <w:trPr>
          <w:trHeight w:val="25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Default="00DC6834" w:rsidP="00C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Pr="002B7B51" w:rsidRDefault="00DC6834" w:rsidP="00CE1AE7">
            <w:pPr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маломобильных групп населения (далее – МГН) в Чебаркульском городском округе; </w:t>
            </w:r>
          </w:p>
          <w:p w:rsidR="00DC6834" w:rsidRPr="002B7B51" w:rsidRDefault="00DC6834" w:rsidP="00CE1AE7">
            <w:pPr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– МГН) на территории Чебаркульского городского округа.</w:t>
            </w:r>
          </w:p>
        </w:tc>
      </w:tr>
      <w:tr w:rsidR="00DC6834" w:rsidTr="00CE1AE7">
        <w:trPr>
          <w:trHeight w:val="22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Default="00DC6834" w:rsidP="00C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Pr="002B7B51" w:rsidRDefault="00DC6834" w:rsidP="00CE1AE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-обеспечение доступности зданий и сооружений  в сферах жизнедеятельности инвалидов и других МГН на территории Чебаркульского городского округа;</w:t>
            </w:r>
          </w:p>
          <w:p w:rsidR="00DC6834" w:rsidRPr="002B7B51" w:rsidRDefault="00DC6834" w:rsidP="00CE1AE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-повышение оперативности и эффективности предоставления реабилитационных услуг в рамках совершенствования системы реабилитации инвалидов;</w:t>
            </w:r>
          </w:p>
          <w:p w:rsidR="00DC6834" w:rsidRPr="002B7B51" w:rsidRDefault="00DC6834" w:rsidP="00CE1AE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образования.</w:t>
            </w:r>
          </w:p>
        </w:tc>
      </w:tr>
      <w:tr w:rsidR="00DC6834" w:rsidTr="00CE1AE7">
        <w:trPr>
          <w:trHeight w:val="11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Default="00DC6834" w:rsidP="00C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Pr="002B7B51" w:rsidRDefault="00DC6834" w:rsidP="00CE1A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программы: 2020-2022 годы.</w:t>
            </w:r>
          </w:p>
          <w:p w:rsidR="00DC6834" w:rsidRPr="002B7B51" w:rsidRDefault="00DC6834" w:rsidP="00CE1A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DC6834" w:rsidTr="00F30B27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Default="00DC6834" w:rsidP="00C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Pr="002B7B51" w:rsidRDefault="00DC6834" w:rsidP="00CE1A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  <w:tr w:rsidR="00DC6834" w:rsidTr="00CE1AE7">
        <w:trPr>
          <w:trHeight w:val="1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Default="00DC6834" w:rsidP="00C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Pr="002B7B51" w:rsidRDefault="00DC6834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программы на 2020 год и плановый период 2021 и 2022 годы составляет </w:t>
            </w:r>
            <w:r w:rsidR="0080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,00, в том числе:</w:t>
            </w:r>
          </w:p>
          <w:p w:rsidR="00DC6834" w:rsidRPr="002B7B51" w:rsidRDefault="00DC6834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из средств местного бюджета,</w:t>
            </w:r>
          </w:p>
          <w:p w:rsidR="00DC6834" w:rsidRPr="002B7B51" w:rsidRDefault="00DC6834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- 0,00 рублей из средств областного бюджета.</w:t>
            </w:r>
          </w:p>
          <w:p w:rsidR="00DC6834" w:rsidRPr="002B7B51" w:rsidRDefault="00DC6834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2020 год </w:t>
            </w:r>
            <w:r w:rsidR="0080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315 022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DC6834" w:rsidRPr="002B7B51" w:rsidRDefault="00DC6834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315 022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DC6834" w:rsidRPr="002B7B51" w:rsidRDefault="00DC6834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 рублей – средства областного бюджета.</w:t>
            </w:r>
          </w:p>
          <w:p w:rsidR="00DC6834" w:rsidRPr="002B7B51" w:rsidRDefault="00DC6834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рублей:</w:t>
            </w:r>
          </w:p>
          <w:p w:rsidR="00DC6834" w:rsidRPr="002B7B51" w:rsidRDefault="00DC6834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рублей – средства местного бюджета,</w:t>
            </w:r>
          </w:p>
          <w:p w:rsidR="00DC6834" w:rsidRPr="002B7B51" w:rsidRDefault="00DC6834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- 0,00 рублей – средства областного бюджета.</w:t>
            </w:r>
          </w:p>
          <w:p w:rsidR="00DC6834" w:rsidRPr="002B7B51" w:rsidRDefault="00DC6834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2022 год 20 000,00 рублей:</w:t>
            </w:r>
          </w:p>
          <w:p w:rsidR="00DC6834" w:rsidRPr="002B7B51" w:rsidRDefault="00DC6834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- 20 000,00 рублей – средства местного бюджета,</w:t>
            </w:r>
          </w:p>
          <w:p w:rsidR="00DC6834" w:rsidRPr="002B7B51" w:rsidRDefault="00DC6834" w:rsidP="00CE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- 0,00 рублей – средства областного бюджета.</w:t>
            </w:r>
          </w:p>
        </w:tc>
      </w:tr>
      <w:tr w:rsidR="00DC6834" w:rsidTr="00CE1AE7">
        <w:trPr>
          <w:trHeight w:val="5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Default="00DC6834" w:rsidP="00C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(целевые) показатели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Pr="002B7B51" w:rsidRDefault="00DC6834" w:rsidP="00CE1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7B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МГН, от общего количества объектов  в социальной инфраструктуре, подлежащих инвентаризации и паспортизации, %;</w:t>
            </w:r>
          </w:p>
          <w:p w:rsidR="00DC6834" w:rsidRPr="002B7B51" w:rsidRDefault="00DC6834" w:rsidP="00CE1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2. Доля объектов социальной инфраструктуры, в которых проведены работы по адаптации зданий и помещений для инвалидов и МГН, к общему количеству объектов социальной инфраструктуры, в которых должны быть выполнены работы по адаптации зданий и помещений для инвалидов и МГН</w:t>
            </w:r>
            <w:proofErr w:type="gramStart"/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DC6834" w:rsidRPr="002B7B51" w:rsidRDefault="00DC6834" w:rsidP="00CE1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3. Доля инвалидов, получивших дополнительные меры социальной поддержки и реабилитацию по временному обеспечению техническими средствами реабилитации, от общего количества обратившихся инвалидов, %;</w:t>
            </w:r>
          </w:p>
          <w:p w:rsidR="00DC6834" w:rsidRPr="002B7B51" w:rsidRDefault="00DC6834" w:rsidP="00CE1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4. Доля детей - инвалидов, получивших дополнительные меры социальной поддержки и реабилитацию, от общего числа обратившихся детей - инвалидов, %;</w:t>
            </w:r>
          </w:p>
          <w:p w:rsidR="00DC6834" w:rsidRPr="002B7B51" w:rsidRDefault="00DC6834" w:rsidP="00CE1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5. Доля дошкольных образовательных организаций, в которых создана универсальная безбарьерная среда для инклюзивного образования детей - инвалидов, детей с ограниченными возможностями здоровья, от общего количества дошкольных образовательных организаций, %.</w:t>
            </w:r>
          </w:p>
        </w:tc>
      </w:tr>
      <w:tr w:rsidR="00DC6834" w:rsidTr="00CE1AE7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Default="00DC6834" w:rsidP="00CE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 реализации муниципальной программы к 2022 году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34" w:rsidRPr="002B7B51" w:rsidRDefault="00DC6834" w:rsidP="00CE1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 сохранение доли объектов социальной инфраструктуры, прошедших инвентаризацию и паспортизацию на соответствие требованиям беспрепятственного доступа к ним инвалидов и МГН, в размере 100%;</w:t>
            </w:r>
          </w:p>
          <w:p w:rsidR="00DC6834" w:rsidRPr="002B7B51" w:rsidRDefault="00DC6834" w:rsidP="00CE1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-увеличение   доли объектов социальной инфраструктуры, в которых проведены работы по адаптации зданий и помещений для инвалидов и МГН, 28,6%;</w:t>
            </w:r>
          </w:p>
          <w:p w:rsidR="00DC6834" w:rsidRPr="002B7B51" w:rsidRDefault="00DC6834" w:rsidP="00CE1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  сохра</w:t>
            </w:r>
            <w:r w:rsidR="00C412DF">
              <w:rPr>
                <w:rFonts w:ascii="Times New Roman" w:hAnsi="Times New Roman" w:cs="Times New Roman"/>
                <w:sz w:val="24"/>
                <w:szCs w:val="24"/>
              </w:rPr>
              <w:t>нение на соответствующем уровне</w:t>
            </w: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 xml:space="preserve"> доли инвалидов, получивших дополнительные меры социальной поддержки и реабилитацию по временному обеспечению техническими средствами реабилитации,  100%;</w:t>
            </w:r>
          </w:p>
          <w:p w:rsidR="00DC6834" w:rsidRPr="002B7B51" w:rsidRDefault="00DC6834" w:rsidP="00CE1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 сохранение на соответствующем уровне доли детей - инвалидов, получивших дополнительные меры социальной поддержки и реабилитацию, 50%;</w:t>
            </w:r>
          </w:p>
          <w:p w:rsidR="00DC6834" w:rsidRPr="002B7B51" w:rsidRDefault="00DC6834" w:rsidP="00CE1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51">
              <w:rPr>
                <w:rFonts w:ascii="Times New Roman" w:hAnsi="Times New Roman" w:cs="Times New Roman"/>
                <w:sz w:val="24"/>
                <w:szCs w:val="24"/>
              </w:rPr>
              <w:t>-  увеличение доли дошкольных образовательных организаций, в которых создана безбарьерная среда для инклюзивного образования детей – инвалидов, детей с ограниченными возможностями здоровья, 13,3%.</w:t>
            </w:r>
          </w:p>
        </w:tc>
      </w:tr>
    </w:tbl>
    <w:p w:rsidR="000E2501" w:rsidRDefault="000E2501"/>
    <w:sectPr w:rsidR="000E2501" w:rsidSect="00C412D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EC" w:rsidRDefault="009760EC" w:rsidP="00C412DF">
      <w:pPr>
        <w:spacing w:after="0" w:line="240" w:lineRule="auto"/>
      </w:pPr>
      <w:r>
        <w:separator/>
      </w:r>
    </w:p>
  </w:endnote>
  <w:endnote w:type="continuationSeparator" w:id="0">
    <w:p w:rsidR="009760EC" w:rsidRDefault="009760EC" w:rsidP="00C4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EC" w:rsidRDefault="009760EC" w:rsidP="00C412DF">
      <w:pPr>
        <w:spacing w:after="0" w:line="240" w:lineRule="auto"/>
      </w:pPr>
      <w:r>
        <w:separator/>
      </w:r>
    </w:p>
  </w:footnote>
  <w:footnote w:type="continuationSeparator" w:id="0">
    <w:p w:rsidR="009760EC" w:rsidRDefault="009760EC" w:rsidP="00C4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566350"/>
      <w:docPartObj>
        <w:docPartGallery w:val="Page Numbers (Top of Page)"/>
        <w:docPartUnique/>
      </w:docPartObj>
    </w:sdtPr>
    <w:sdtEndPr/>
    <w:sdtContent>
      <w:p w:rsidR="00C412DF" w:rsidRDefault="00C412DF">
        <w:pPr>
          <w:pStyle w:val="a4"/>
          <w:jc w:val="center"/>
        </w:pPr>
        <w:r w:rsidRPr="00C412DF">
          <w:rPr>
            <w:rFonts w:ascii="Times New Roman" w:hAnsi="Times New Roman" w:cs="Times New Roman"/>
          </w:rPr>
          <w:fldChar w:fldCharType="begin"/>
        </w:r>
        <w:r w:rsidRPr="00C412DF">
          <w:rPr>
            <w:rFonts w:ascii="Times New Roman" w:hAnsi="Times New Roman" w:cs="Times New Roman"/>
          </w:rPr>
          <w:instrText>PAGE   \* MERGEFORMAT</w:instrText>
        </w:r>
        <w:r w:rsidRPr="00C412DF">
          <w:rPr>
            <w:rFonts w:ascii="Times New Roman" w:hAnsi="Times New Roman" w:cs="Times New Roman"/>
          </w:rPr>
          <w:fldChar w:fldCharType="separate"/>
        </w:r>
        <w:r w:rsidR="00EB612B">
          <w:rPr>
            <w:rFonts w:ascii="Times New Roman" w:hAnsi="Times New Roman" w:cs="Times New Roman"/>
            <w:noProof/>
          </w:rPr>
          <w:t>2</w:t>
        </w:r>
        <w:r w:rsidRPr="00C412DF">
          <w:rPr>
            <w:rFonts w:ascii="Times New Roman" w:hAnsi="Times New Roman" w:cs="Times New Roman"/>
          </w:rPr>
          <w:fldChar w:fldCharType="end"/>
        </w:r>
      </w:p>
    </w:sdtContent>
  </w:sdt>
  <w:p w:rsidR="00C412DF" w:rsidRDefault="00C412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02"/>
    <w:rsid w:val="000E2501"/>
    <w:rsid w:val="00187DAF"/>
    <w:rsid w:val="00423835"/>
    <w:rsid w:val="00805AB1"/>
    <w:rsid w:val="00935910"/>
    <w:rsid w:val="009760EC"/>
    <w:rsid w:val="009A7402"/>
    <w:rsid w:val="00C412DF"/>
    <w:rsid w:val="00DC6834"/>
    <w:rsid w:val="00EB612B"/>
    <w:rsid w:val="00F3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8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2DF"/>
  </w:style>
  <w:style w:type="paragraph" w:styleId="a6">
    <w:name w:val="footer"/>
    <w:basedOn w:val="a"/>
    <w:link w:val="a7"/>
    <w:uiPriority w:val="99"/>
    <w:unhideWhenUsed/>
    <w:rsid w:val="00C4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8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2DF"/>
  </w:style>
  <w:style w:type="paragraph" w:styleId="a6">
    <w:name w:val="footer"/>
    <w:basedOn w:val="a"/>
    <w:link w:val="a7"/>
    <w:uiPriority w:val="99"/>
    <w:unhideWhenUsed/>
    <w:rsid w:val="00C4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2021-02-12T08:49:00Z</cp:lastPrinted>
  <dcterms:created xsi:type="dcterms:W3CDTF">2021-02-04T03:20:00Z</dcterms:created>
  <dcterms:modified xsi:type="dcterms:W3CDTF">2021-02-26T10:12:00Z</dcterms:modified>
</cp:coreProperties>
</file>